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21 декабря 2012 г. N 26268</w:t>
      </w:r>
    </w:p>
    <w:p w:rsidR="00243750" w:rsidRDefault="00243750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РОССИЙСКОЙ ФЕДЕРАЦИИ</w:t>
      </w:r>
    </w:p>
    <w:p w:rsidR="00243750" w:rsidRDefault="00243750">
      <w:pPr>
        <w:pStyle w:val="ConsPlusTitle"/>
        <w:jc w:val="center"/>
        <w:rPr>
          <w:sz w:val="20"/>
          <w:szCs w:val="20"/>
        </w:rPr>
      </w:pPr>
    </w:p>
    <w:p w:rsidR="00243750" w:rsidRDefault="0024375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243750" w:rsidRDefault="0024375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13 ноября 2012 г. N 911н</w:t>
      </w:r>
    </w:p>
    <w:p w:rsidR="00243750" w:rsidRDefault="00243750">
      <w:pPr>
        <w:pStyle w:val="ConsPlusTitle"/>
        <w:jc w:val="center"/>
        <w:rPr>
          <w:sz w:val="20"/>
          <w:szCs w:val="20"/>
        </w:rPr>
      </w:pPr>
    </w:p>
    <w:p w:rsidR="00243750" w:rsidRDefault="0024375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243750" w:rsidRDefault="0024375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ПРИ ОСТРЫХ И ХРОНИЧЕСКИХ</w:t>
      </w:r>
    </w:p>
    <w:p w:rsidR="00243750" w:rsidRDefault="0024375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ПРОФЕССИОНАЛЬНЫХ ЗАБОЛЕВАНИЯХ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29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при острых и хронических профессиональных заболеваниях.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23 марта 2011 г. N 233н "Об утверждении Порядка оказания медицинской помощи при острых и хронических профессиональных заболеваниях" (зарегистрирован Министерством юстиции Российской Федерации 12 мая 2011 г., регистрационный N 20715).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В.И.СКВОРЦОВА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911н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pStyle w:val="ConsPlusTitle"/>
        <w:jc w:val="center"/>
        <w:rPr>
          <w:sz w:val="20"/>
          <w:szCs w:val="20"/>
        </w:rPr>
      </w:pPr>
      <w:bookmarkStart w:id="1" w:name="Par29"/>
      <w:bookmarkEnd w:id="1"/>
      <w:r>
        <w:rPr>
          <w:sz w:val="20"/>
          <w:szCs w:val="20"/>
        </w:rPr>
        <w:t>ПОРЯДОК</w:t>
      </w:r>
    </w:p>
    <w:p w:rsidR="00243750" w:rsidRDefault="0024375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ПРИ ОСТРЫХ И ХРОНИЧЕСКИХ</w:t>
      </w:r>
    </w:p>
    <w:p w:rsidR="00243750" w:rsidRDefault="0024375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ПРОФЕССИОНАЛЬНЫХ ЗАБОЛЕВАНИЯХ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регулирует вопросы оказания медицинской помощи при острых и хронических профессиональных заболеваниях, за исключением вопросов оказания медицинской помощи водолазам и другим работникам, работающим в условиях повышенного давления окружающей газовой и водной среды, при заболеваниях и травмах, связанных с профессиональной деятельностью.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при острых и хронических профессиональных заболеваниях оказывается в рамках: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скорой, в том числе скорой специализированной, медицинской помощи;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Медицинская помощь при острых и хронических профессиональных заболеваниях оказывается медицинскими работниками врачебного (фельдшерского) здравпункта, профпатологических кабинетов, профпатологических отделений, а также центров профпатологии, осуществляющих свою деятельность в соответствии с </w:t>
      </w:r>
      <w:hyperlink w:anchor="Par80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741" w:history="1">
        <w:r>
          <w:rPr>
            <w:rFonts w:ascii="Calibri" w:hAnsi="Calibri" w:cs="Calibri"/>
            <w:color w:val="0000FF"/>
          </w:rPr>
          <w:t>12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Больные доставляются во врачебный (фельдшерский) здравпункт, а в случае его </w:t>
      </w:r>
      <w:r>
        <w:rPr>
          <w:rFonts w:ascii="Calibri" w:hAnsi="Calibri" w:cs="Calibri"/>
        </w:rPr>
        <w:lastRenderedPageBreak/>
        <w:t>отсутствия в ближайшее место, доступное для выездных бригад скорой медицинской помощи.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Медицинские работники врачебного (фельдшерского) здравпункта при выявлении больных с признаками острого профессионального заболевания вызывают бригаду скорой медицинской помощи и оказывают больному медицинскую помощь до ее приезда.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Скорая медицинская помощь больным с признаками острого профессионального заболевания оказывается выездными бригадами скорой медицинской помощи на месте выезда, а также по пути следования в медицинскую организацию, оказывающую медицинскую помощь больным с острыми профессиональными заболеваниями.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Скорая специализированная медицинская помощь оказывается специализированными выездными врачебными бригадами по профилю заболевания.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Больные с предварительным диагнозом острого профессионального заболевания доставляются выездными бригадами скорой медицинской помощи в медицинские организации по профилю заболевания, оказывающие медицинскую помощь в стационарных условиях.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 медицинских организациях, оказывающих медицинскую помощь в стационарных условиях, больным с предварительным диагнозом острого профессионального заболевания оказывается специализированная, в том числе высокотехнологичная, медицинская помощь.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Специализированная медицинская помощь при острых профессиональных заболеваниях, а также при наличии предварительного диагноза острого профессионального заболевания от воздействия ионизирующего излучения и других особо вредных производственных факторов осуществляется в медицинских организациях, осуществляющих медицинскую помощь пострадавшим от воздействия указанных факторов, и их структурных подразделениях (токсикологические отделения, центры острых отравлений, специализированные центры профессиональной патологии).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Оказание специализированной, за исключением высокотехнологичной, медицинской помощи осуществляется в 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окончательного диагноза в связи с нетипичностью течения заболевания, 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 основного заболевания или наличием сопутствующих заболеваний, необходимости дообследования в диагностически сложных случаях и (или) комплексной предоперационной подготовке у больных с осложненными формами заболевания, сопутствующими заболеваниями, при необходимости повторной госпитализации по рекомендации указанных федеральных государственных медицинских организаций в соответствии с </w:t>
      </w:r>
      <w:hyperlink r:id="rId7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в федеральные государственные учреждения, находящиеся в ведении Министерства здравоохранения и социального развития Российской Федерации, для оказания специализированной медицинской помощи, приведенным в приложении к Порядку организации оказания специализированной медицинской помощи, утвержденному приказом Министерства здравоохранения и социального развития Российской Федерации от 16 апреля 2010 г. N 243н (зарегистрирован Министерством юстиции Российской Федерации 12 мая 2010 г., регистрационный N 17175), а также при наличии у больного медицинских показаний в федеральных государственных медицинских организациях, оказывающих специализированную медицинскую помощь, в соответствии с </w:t>
      </w:r>
      <w:hyperlink r:id="rId8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показаний, утвержденным приказом Министерства здравоохранения и социального развития Российской Федерации от 5 октября 2005 г. N 617 (зарегистрирован Министерством юстиции Российской Федерации 27 октября 2005 г., регистрационный N 7115).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При наличии у больного медицинских показаний к оказанию высокотехнологичной медицинской помощи направление в медицинскую организацию, оказывающую высокотехнологичную медицинскую помощь, осуществляется 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путем </w:t>
      </w:r>
      <w:r>
        <w:rPr>
          <w:rFonts w:ascii="Calibri" w:hAnsi="Calibri" w:cs="Calibri"/>
        </w:rPr>
        <w:lastRenderedPageBreak/>
        <w:t>применения специализированной информационной системы, утвержденным приказом Министерства здравоохранения и социального развития Российской Федерации от 28 декабря 2011 г. N 1689н (зарегистрирован Министерством юстиции Российской Федерации 8 февраля 2012 г., регистрационный N 23164).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В случае невозможности уточнения клинического диагноза и (или) невозможности оказания специализированной медицинской помощи больным с острым профессиональным заболеванием в условиях медицинской организации, в которую они направлены, при наличии медицинских показаний в указанную медицинскую организацию привлекаются врачи-специалисты из иных медицинских организаций либо больной направляется в иную медицинскую организацию, имеющую в своем составе соответствующие специализированные отделения для проведения необходимых лечебно-диагностических мероприятий.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Больные с признаками острого профессионального заболевания после оказания специализированной медицинской помощи направляются: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медицинские организации по месту жительства или пребывания (с учетом права на выбор медицинской организации) для проведения лечения в амбулаторных условиях и (или) восстановительно-реабилитационных мероприятий;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центр профессиональной патологии или иную медицинскую организацию, имеющую лицензию на оказание медицинской помощи, включая работы и услуги по специальностям "профпатология", "экспертиза связи заболевания с профессией", "экспертиза профессиональной пригодности", для прохождения экспертизы профессиональной пригодности и экспертизы связи заболевания с профессией.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В центре профессиональной патологии проводится экспертиза связи заболевания с профессией в установленном порядке.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Больной с установленным заключительным диагнозом острого профессионального заболевания: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направляется врачом-профпатологом медицинской организации по месту жительства или пребывания (с учетом права на выбор медицинской организации) для освидетельствования в учреждение медико-социальной экспертизы при наличии признаков временной или стойкой утраты трудоспособности;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регистрируется и ставится на учет в организационно-методическом отделе центра профессиональной патологии;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подлежит диспансерному наблюдению у врача-профпатолога по месту жительства или пребывания (с учетом права на выбор медицинской организации).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В случае выявления у больного признаков ранее не установленного хронического профессионального заболевания врач-специалист, выявивший указанные признаки, в течение суток с момента их выявления направляет больного на консультацию в кабинет врача-профпатолога медицинской организации по месту жительства или пребывания (с учетом права на выбор медицинской организации). Больной в случае подозрения на наличие признаков хронического профессионального заболевания вправе самостоятельно с целью консультации обратиться в кабинет врача-профпатолога.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В случае выявления признаков ранее не установленного хронического профессионального заболевания врач-профпатолог устанавливает предварительный диагноз хронического профессионального заболевания и направляет больного в центр профессиональной патологии или иную медицинскую организацию, имеющую лицензию на оказание медицинской помощи, включая работы и услуги по специальностям "профпатология", "экспертиза связи заболевания с профессией", "экспертиза профессиональной пригодности", для оказания при наличии показаний медицинской помощи, а также проведения экспертизы связи заболевания с профессией и экспертизы профессиональной пригодности.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При осуществлении направления приоритет должен быть отдан центрам профессиональной патологии, специализированным по профилю заболевания.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В центре профессиональной патологии проводится экспертиза связи заболевания с профессией в установленном порядке.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Больной с установленным заключительным диагнозом хронического профессионального заболевания после оказания медицинской помощи: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направляется в медицинскую организацию по месту жительства или пребывания (с учетом права на выбор медицинской организации) для проведения лечения в амбулаторных условиях и (или) восстановительно-реабилитационных мероприятий;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направляется врачом-профпатологом медицинской организации по месту жительства или пребывания (с учетом права на выбор медицинской организации) для освидетельствования в учреждение медико-социальной экспертизы;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регистрируется и ставится на учет в организационно-методическом отделе центра профессиональной патологии;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подлежит диспансерному наблюдению у врача-профпатолога по месту жительства или пребывания (с учетом права на выбор медицинской организации).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острых и хронических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профессиональных заболеваниях,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911н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80"/>
      <w:bookmarkEnd w:id="2"/>
      <w:r>
        <w:rPr>
          <w:rFonts w:ascii="Calibri" w:hAnsi="Calibri" w:cs="Calibri"/>
        </w:rPr>
        <w:t>ПРАВИЛА ОРГАНИЗАЦИИ ДЕЯТЕЛЬНОСТИ ВРАЧЕБНОГО ЗДРАВПУНКТА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организации деятельности врачебного здравпункта (далее - здравпункт), который создается в виде структурного подразделения организации, осуществляющей наряду с основной (уставной) деятельностью медицинскую деятельность.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Здравпункт создается в организациях с численностью работников свыше 1201 человека в первую смену, свыше 301 человека во вторую смену, свыше 201 человека в третью смену и свыше 101 человека в четвертую смену.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Структура здравпункта и его штатная численность устанавливаются руководителем организации, в составе которой он создан, исходя из объема проводимой лечебно-диагностической работы, численности обслуживаемого контингента и рекомендованных штатных нормативов, установленных согласно </w:t>
      </w:r>
      <w:hyperlink w:anchor="Par118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к Порядку оказания медицинской помощи при острых и хронических профессиональных заболеваниях, утвержденному настоящим приказом.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Здравпункт оснащается в соответствии со стандартом оснащения, установленным согласно </w:t>
      </w:r>
      <w:hyperlink w:anchor="Par152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 xml:space="preserve"> к Порядку оказания медицинской помощи при острых и хронических профессиональных заболеваниях, утвержденному настоящим приказом.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Основными функциями здравпункта являются: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первичной медико-санитарной помощи до приезда бригады скорой медицинской помощи;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экспертиза временной нетрудоспособности;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направления по медицинским показаниям работников, обратившихся за медицинской помощью, на консультацию к врачам-специалистам;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выдача справок о факте обращения за медицинской помощью;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подготовке списков контингентов и поименных списков работников, направляемых для прохождения обязательного предварительного и периодических медицинских осмотров;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контроле своевременного прохождения работниками предварительного и периодических медицинских осмотров;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проведение предрейсовых, послерейсовых, предсменых, послесменных осмотров;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санитарно-гигиенических и противоэпидемических мероприятий на территории организации;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мероприятий по предупреждению и снижению заболеваемости с временной утратой трудоспособности, травматизма, профессиональных заболеваний и профессиональных отравлений, улучшению санитарно-гигиенических условий труда работников организации;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охрана здоровья работников организации;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разработке и проведении комплекса профилактических и оздоровительных мероприятий, в том числе осуществлении контроля за выполнением рекомендаций по результатам предварительных и периодических медицинских осмотров работников организации;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учетно-отчетной документации по установленным формам, в том числе направление извещений о предварительном диагнозе профессионального заболевания;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тренировках и учениях, имитирующих аварийные ситуации на территории организации;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оформление документов (выписок из журналов приема больных, актов освидетельствования) по запросам;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квалификации медицинских работников здравпункта, участие в конференциях и семинарах;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изучение и соблюдение правил охраны труда;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регулярных отчетов о проводимой работе и полученных результатах.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острых и хронических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профессиональных заболеваниях,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911н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18"/>
      <w:bookmarkEnd w:id="3"/>
      <w:r>
        <w:rPr>
          <w:rFonts w:ascii="Calibri" w:hAnsi="Calibri" w:cs="Calibri"/>
        </w:rPr>
        <w:t>РЕКОМЕНДУЕМЫЕ ШТАТНЫЕ НОРМАТИВЫ ВРАЧЕБНОГО ЗДРАВПУНКТА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280"/>
        <w:gridCol w:w="3120"/>
      </w:tblGrid>
      <w:tr w:rsidR="00243750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должности 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 должностей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здравпунктом - врач-терапевт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Врач-терапевт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рабочую смену </w:t>
            </w:r>
            <w:hyperlink w:anchor="Par137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рабочую смену </w:t>
            </w:r>
            <w:hyperlink w:anchor="Par137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24375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рабочую смену для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уборки помещений </w:t>
            </w:r>
            <w:hyperlink w:anchor="Par137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</w:tbl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137"/>
      <w:bookmarkEnd w:id="4"/>
      <w:r>
        <w:rPr>
          <w:rFonts w:ascii="Calibri" w:hAnsi="Calibri" w:cs="Calibri"/>
        </w:rPr>
        <w:t>&lt;*&gt; Количество рабочих смен определяется соответственно графику работы организации.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острых и хронических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профессиональных заболеваниях,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утвержденному приказом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911н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152"/>
      <w:bookmarkEnd w:id="5"/>
      <w:r>
        <w:rPr>
          <w:rFonts w:ascii="Calibri" w:hAnsi="Calibri" w:cs="Calibri"/>
        </w:rPr>
        <w:t>СТАНДАРТ ОСНАЩЕНИЯ ВРАЧЕБНОГО ЗДРАВПУНКТА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240"/>
        <w:gridCol w:w="2160"/>
      </w:tblGrid>
      <w:tr w:rsidR="00243750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количество, шт.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первой помощи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оказания экстренной медицинской помощи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АнтиСПИД (ВИЧ)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медицинский (укладка) для забора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материала от людей и из объектов окружающей среды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исследования на особо опасные инфекционные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заболевания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Специализированные укладки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      </w:t>
            </w:r>
          </w:p>
        </w:tc>
      </w:tr>
      <w:tr w:rsidR="00243750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Индивидуальный дозиметр (в случае использования в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технологическом процессе источников ионизирующего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излучения)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сотрудников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здравпункта, но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 менее 4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Одеяло изотермическое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Электрокардиограф портативный, 6-канальный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радиометр для измерения уровня альфа-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излучения (в случае использования в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технологическом процессе источников ионизирующего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излучения)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радиометр для измерения уровня гамма-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бета-излучения (в случае использования в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технологическом процессе источников ионизирующего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излучения)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для измерения артериального давления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периферических артериях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Фонендоскоп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Глюкометр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Алкометр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реагентов для иммунохроматографического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выявления психоактивных веществ, наркотических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соединений и их метаболитов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медикаментов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Кушетки медицинские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одежды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белья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канцелярский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Стулья, включая металлические стулья-вертушки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Вешалка для одежды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Педальное ведро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Тумбочки медицинские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Зеркало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Оториноскоп (портативный)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Сейф для хранения сильнодействующих медикаментов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Закрытая емкость для сбора использованного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перевязочного материала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Электроплитка с закрытой спиралью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Фонарь электрический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настольная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Динамик оповещения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помещение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Комплекты медицинской одежды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Щит деревянный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Носилки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Костыли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Секундомер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42.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Перчатки резиновые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Грелка резиновая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Пузырь для льда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Кружка Эсмарха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Судно подкладное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Утка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Поильник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Мензурка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Зонд желудочный толстый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Воронка стеклянная большая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Жгут кровоостанавливающий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Катетер резиновый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Глазная ванночка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Кюветы разных размеров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Лотки почкообразные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Пипетки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Палочки стеклянные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Щетки для мытья рук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Шины для транспортной иммобилизации (разной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конструкции)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Устройство для вливания кровезаменителей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инфузионных растворов одноразового применения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Биксы (разных размеров)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Шпатели одноразовые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Роторасширитель одноразовый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Языкодержатель одноразовый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Корнцанг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 анатомический общего назначения 200 мм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 анатомический общего назначения 150 мм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 хирургический общего назначения 150 мм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Скальпель остроконечный одноразовый 150 мм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243750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Кровоостанавливающие зажимы одноразовые: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зубчатый прямой N 1 160 мм;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зубчатый изогнутый N 1 158 мм;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одно-, двузубый N 1 160 мм;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одно-, двузубый прямой N 2 162 мм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каждого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наименования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(прямые, изогнутые)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Скобки Мишеля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 для наложения скобок Мишеля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 инсулиновый одноразовый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Шприцы одноразовые 20 мл, 10 мл, 5 мл и 2 мл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каждого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объема    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электрический средний (резервный,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случай выхода из строя сухожаровой стерилизации)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Сухожаровой шкаф или автоклав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аппарат для ручной искусственной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вентиляции легких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Ушная воронка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Носовое зеркало (расширители)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Лобный рефлектор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Кислородный ингалятор любого типа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для искусственной вентиляции легких ручной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Трахеотомический набор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Воздуховоды для искусственного дыхания "рот в рот"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Пакет перевязочный индивидуальный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            </w:t>
            </w:r>
          </w:p>
        </w:tc>
      </w:tr>
    </w:tbl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острых и хронических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профессиональных заболеваниях,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Российской Федерации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911н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 ВРАЧА-ПРОФПАТОЛОГА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организации деятельности кабинета врача-профпатолога (далее - Кабинет).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создается в виде структурного подразделения медицинской организации, имеющей лицензию на оказание медицинской помощи, включая работы и услуги по специальностям "экспертиза профессиональной пригодности" и "медицинские осмотры (предварительные, периодические)".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Структура Кабинета и его штатная численность устанавливаются руководителем медицинской организации, в составе которой он создан, исходя из объема проводимой лечебно-диагностической работы, численности обслуживаемого контингента и рекомендованных штатных нормативов, установленных согласно </w:t>
      </w:r>
      <w:hyperlink w:anchor="Par402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 к Порядку оказания медицинской помощи при острых и хронических профессиональных заболеваниях, утвержденному настоящим приказом.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Кабинет оснащается в соответствии со стандартом, установленным </w:t>
      </w:r>
      <w:hyperlink w:anchor="Par440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при острых и хронических профессиональных заболеваниях, утвержденному настоящим приказом.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Основными функциями Кабинета являются: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и диагностической помощи больным с установленным диагнозом профессионального заболевания, в том числе с предварительным диагнозом профессионального заболевания, а также больным, занятым на работах с вредными производственными факторами;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установление предварительного диагноза профессионального заболевания при наличии признаков ранее не установленного профессионального заболевания;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экспертиза временной нетрудоспособности;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диспансерного наблюдения за больными с установленным диагнозом профессионального заболевания и (или) профессионального отравления, проведение им необходимого лечения и медико-социальной реабилитации по заключению учреждений медико-социальной экспертизы;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учет больных с профессиональными заболеваниями;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санитарно-просветительская работа среди прикрепленного населения;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предварительных и периодических медицинских осмотрах, а также в проведении экспертизы профессиональной пригодности;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в центр профессиональной патологии и иные медицинские организации для проведения медицинских обследований, осуществления экспертизы профессиональной пригодности и экспертизы связи заболевания с профессией.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острых и хронических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профессиональных заболеваниях,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911н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402"/>
      <w:bookmarkEnd w:id="6"/>
      <w:r>
        <w:rPr>
          <w:rFonts w:ascii="Calibri" w:hAnsi="Calibri" w:cs="Calibri"/>
        </w:rPr>
        <w:t>РЕКОМЕНДУЕМЫЕ ШТАТНЫЕ НОРМАТИВЫ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КАБИНЕТА ВРАЧА-ПРОФПАТОЛОГА &lt;*&gt;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Настоящие рекомендуемые штатные нормативы кабинета врача-профпатолога не распространяются на медицинские организации частной системы здравоохранения.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3600"/>
        <w:gridCol w:w="4800"/>
      </w:tblGrid>
      <w:tr w:rsidR="00243750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должности  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Количество должностей         </w:t>
            </w:r>
          </w:p>
        </w:tc>
      </w:tr>
      <w:tr w:rsidR="00243750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Врач-профпатолог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из расчета приема 1,7 человека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 (не менее 1 на 1200 человек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обслуживаемого контингента) </w:t>
            </w:r>
            <w:hyperlink w:anchor="Par42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243750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должность врача-профпатолога;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на 500 человек контингента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диспансерных профпатологических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больных </w:t>
            </w:r>
            <w:hyperlink w:anchor="Par42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должности врача-профпатолога   </w:t>
            </w:r>
          </w:p>
        </w:tc>
      </w:tr>
    </w:tbl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425"/>
      <w:bookmarkEnd w:id="7"/>
      <w:r>
        <w:rPr>
          <w:rFonts w:ascii="Calibri" w:hAnsi="Calibri" w:cs="Calibri"/>
        </w:rPr>
        <w:t>&lt;*&gt; При меньшем объеме медицинской помощи не менее 1 ставки врача и 1 ставки медицинской сестры.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острых и хронических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профессиональных заболеваниях,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911н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440"/>
      <w:bookmarkEnd w:id="8"/>
      <w:r>
        <w:rPr>
          <w:rFonts w:ascii="Calibri" w:hAnsi="Calibri" w:cs="Calibri"/>
        </w:rPr>
        <w:t>СТАНДАРТ ОСНАЩЕНИЯ КАБИНЕТА ВРАЧА-ПРОФПАТОЛОГА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240"/>
        <w:gridCol w:w="2160"/>
      </w:tblGrid>
      <w:tr w:rsidR="00243750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количество, шт.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врача-терапевта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Вибротестер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Секундомер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Динамометр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Фонендоскоп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Неврологический молоточек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напольные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</w:tbl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острых и хронических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профессиональных заболеваниях,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Российской Федерации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911н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ЦЕНТРА ПРОФЕССИОНАЛЬНОЙ ПАТОЛОГИИ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организации деятельности центра профессиональной патологии (далее - Центр).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Центр создается в виде самостоятельной медицинской организации или структурного подразделения медицинской организации, имеющей лицензию на оказание медицинской помощи, включая работы и услуги по специальностям "профпатология", "экспертиза связи заболевания с профессией", "экспертиза профессиональной пригодности".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При создании Центра в виде самостоятельной медицинской организации в Центре предусматривается наличие следующих подразделений: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профпатологическое отделение (не менее одного);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амбулаторно-поликлиническое отделение с кабинетом врача-профпатолога;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функциональной диагностики;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лучевой диагностики (отделение ультразвуковой диагностики и рентгенологическое отделение);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эндоскопии;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лаборатория медицинской физики (при сопровождении радиационно опасных предприятий);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клинико-диагностическая лаборатория;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лаборатория медицинской физики (при сопровождении радиационно опасных предприятий);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физиотерапевтическое отделение;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консультативно-диагностическое отделение;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организационно-методический отдел или кабинет.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создании Центра в виде структурного подразделения медицинской организации наличие указанных подразделений предусматривается в медицинской организации, в которой он создается.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 случае создания Центра в виде структурного подразделения медицинской организации для обеспечения своей работы Центр использует возможности лечебных, диагностических и других подразделений медицинской организации, в которой он создан, за исключением профпатологического отделения.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Структура Центра и его штатная численность устанавливаются руководителем медицинской организации, в составе которой он создан, исходя из объема проводимой лечебно-диагностической работы, численности обслуживаемого населения и рекомендованных штатных нормативов, установленных согласно </w:t>
      </w:r>
      <w:hyperlink w:anchor="Par534" w:history="1">
        <w:r>
          <w:rPr>
            <w:rFonts w:ascii="Calibri" w:hAnsi="Calibri" w:cs="Calibri"/>
            <w:color w:val="0000FF"/>
          </w:rPr>
          <w:t>приложению N 8</w:t>
        </w:r>
      </w:hyperlink>
      <w:r>
        <w:rPr>
          <w:rFonts w:ascii="Calibri" w:hAnsi="Calibri" w:cs="Calibri"/>
        </w:rPr>
        <w:t xml:space="preserve"> к Порядку оказания медицинской помощи при острых и хронических профессиональных заболеваниях, утвержденному настоящим приказом.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Центр оснащается в соответствии со стандартом, установленным </w:t>
      </w:r>
      <w:hyperlink w:anchor="Par591" w:history="1">
        <w:r>
          <w:rPr>
            <w:rFonts w:ascii="Calibri" w:hAnsi="Calibri" w:cs="Calibri"/>
            <w:color w:val="0000FF"/>
          </w:rPr>
          <w:t>приложением N 9</w:t>
        </w:r>
      </w:hyperlink>
      <w:r>
        <w:rPr>
          <w:rFonts w:ascii="Calibri" w:hAnsi="Calibri" w:cs="Calibri"/>
        </w:rPr>
        <w:t xml:space="preserve"> к Порядку оказания медицинской помощи при острых и хронических профессиональных заболеваниях, утвержденному настоящим приказом.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Основными функциями Центра являются: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 медицинской помощи больным, страдающим профессиональными заболеваниями, в том числе больным с предварительным диагнозом профессионального заболевания и подозрением на указанные состояния, а также больным, занятым на работах с вредными производственными факторами;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экспертиза профессиональной пригодности;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экспертиза связи заболевания с профессией;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экспертиза временной нетрудоспособности;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предварительных и периодических медицинских осмотров лиц, занятых на работах с вредными производственными факторами;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оказание консультативно-методической и организационной помощи медицинским работникам иных медицинских организаций по вопросам профессиональной патологии;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мониторинга за состоянием здоровья больных с установленным диагнозом профессионального заболевания и профессионального отравления и больных, занятых на работах с вредными производственными факторами;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контроль за проведением предварительных и периодических медицинских осмотров медицинскими организациями, а также реализацией профилактических, оздоровительных и реабилитационных мероприятий по результатам этих осмотров;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информационных систем, создание и ведение банка данных по профессиональной заболеваемости;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и прогноз риска формирования профессиональных заболеваний и профессиональных отравлений, участие в выполнении научно-исследовательских работ в области профессиональной патологии;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разработке мероприятий по профилактике и снижению профессиональной заболеваемости;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рассмотрение конфликтных вопросов, возникших при экспертизе профессиональной пригодности и связи заболевания с профессией;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работе конференций, совещаний, симпозиумов по вопросам профессиональной патологии;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разработке медико-профилактических требований по охране здоровья работников и окружающей среды;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статистического учета и представление форм статистической отчетности.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Центр может использоваться в качестве клинической базы образовательных организаций.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острых и хронических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профессиональных заболеваниях,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911н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534"/>
      <w:bookmarkEnd w:id="9"/>
      <w:r>
        <w:rPr>
          <w:rFonts w:ascii="Calibri" w:hAnsi="Calibri" w:cs="Calibri"/>
        </w:rPr>
        <w:t>РЕКОМЕНДУЕМЫЕ ШТАТНЫЕ НОРМАТИВЫ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ЦЕНТРА ПРОФЕССИОНАЛЬНОЙ ПАТОЛОГИИ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320"/>
        <w:gridCol w:w="4200"/>
      </w:tblGrid>
      <w:tr w:rsidR="00243750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должности 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должностей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Руководитель Центра - врач-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профпатолог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</w:t>
            </w:r>
          </w:p>
        </w:tc>
      </w:tr>
      <w:tr w:rsidR="00243750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организационно-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методическим отделом - врач-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профпатолог (врач-методист)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</w:t>
            </w:r>
          </w:p>
        </w:tc>
      </w:tr>
      <w:tr w:rsidR="00243750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консультативно-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диагностическим отделением - врач-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профпатолог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</w:t>
            </w:r>
          </w:p>
        </w:tc>
      </w:tr>
      <w:tr w:rsidR="00243750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Врач-профпатолог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2 для организационно-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методического отдела;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 менее 3 для консультативно-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диагностического отделения 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Врач-методист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для организационно-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методического отдела   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Инженер-программист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</w:t>
            </w:r>
          </w:p>
        </w:tc>
      </w:tr>
      <w:tr w:rsidR="00243750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7.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регистратор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для организационно-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методического отдела;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для архива                     </w:t>
            </w:r>
          </w:p>
        </w:tc>
      </w:tr>
      <w:tr w:rsidR="00243750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для организационно-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методического отдела;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2 для консультативно-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диагностического отделения       </w:t>
            </w:r>
          </w:p>
        </w:tc>
      </w:tr>
      <w:tr w:rsidR="00243750">
        <w:trPr>
          <w:trHeight w:val="9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для организационно-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методического отдела;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для консультативно-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диагностического отделения;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для архива                     </w:t>
            </w:r>
          </w:p>
        </w:tc>
      </w:tr>
    </w:tbl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острых и хронических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профессиональных заболеваниях,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911н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" w:name="Par591"/>
      <w:bookmarkEnd w:id="10"/>
      <w:r>
        <w:rPr>
          <w:rFonts w:ascii="Calibri" w:hAnsi="Calibri" w:cs="Calibri"/>
        </w:rPr>
        <w:t>СТАНДАРТ ОСНАЩЕНИЯ ЦЕНТРА ПРОФЕССИОНАЛЬНОЙ ПАТОЛОГИИ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480"/>
        <w:gridCol w:w="2040"/>
      </w:tblGrid>
      <w:tr w:rsidR="00243750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оборудования (оснащения)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Требуемое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количество, шт.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лазерный микроциркуляции крови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компьютеризированный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Аппаратно-программный реографический комплекс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Бодиплятизмограф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Велоэргометр с пульсконтролем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Вибротестер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Динамометр медицинский, эспандер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Импедансометр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Комплекс компьютеризированный для исследования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 кровенаполнения сосудов головного мозга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Компьютерный томограф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Масс-спектрометр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Плазменно-ионизационный фотометр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определения ртути в биологических средах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кардиологическая диагностическая мониторная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проведения нагрузочных тестов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Спирометр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Ультразвуковая допплеровская система с датчиками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сосудов головного мозга, рук и ног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Фотоэлектроколориметр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</w:t>
            </w:r>
          </w:p>
        </w:tc>
      </w:tr>
      <w:tr w:rsidR="00243750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радиометр для измерения уровня альфа-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излучения (в случае использования в технологическом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процессе источников ионизирующего излучения)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</w:t>
            </w:r>
          </w:p>
        </w:tc>
      </w:tr>
      <w:tr w:rsidR="00243750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радиометр для измерения уровня гамма-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бета-излучения (в случае использования в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технологическом процессе источников ионизирующего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излучения)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</w:t>
            </w:r>
          </w:p>
        </w:tc>
      </w:tr>
    </w:tbl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острых и хронических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профессиональных заболеваниях,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911н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ПРОФПАТОЛОГИЧЕСКОГО ОТДЕЛЕНИЯ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организации деятельности профпатологического отделения (далее - Отделение).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создается в виде структурного подразделения медицинской организации, имеющей лицензию на оказание медицинской помощи, включая работы и услуги по специальностям "профпатология", "экспертиза связи заболевания с профессией", "экспертиза профессиональной пригодности".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создается в медицинской организации, имеющей в своем составе следующие подразделения: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функциональной диагностики;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лучевой диагностики (отделение ультразвуковой диагностики и рентгенологическое отделение);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эндоскопии;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клинико-диагностическая лаборатория;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лаборатория медицинской физики (при сопровождении радиационно опасных предприятий);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физиотерапевтическое отделение.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Структура Отделения и его штатная численность устанавливаются руководителем медицинской организации, в составе которой создано Отделение, исходя из объема проводимой лечебно-диагностической работы, численности обслуживаемого населения и рекомендованных штатных нормативов, установленных согласно </w:t>
      </w:r>
      <w:hyperlink w:anchor="Par698" w:history="1">
        <w:r>
          <w:rPr>
            <w:rFonts w:ascii="Calibri" w:hAnsi="Calibri" w:cs="Calibri"/>
            <w:color w:val="0000FF"/>
          </w:rPr>
          <w:t>приложению N 11</w:t>
        </w:r>
      </w:hyperlink>
      <w:r>
        <w:rPr>
          <w:rFonts w:ascii="Calibri" w:hAnsi="Calibri" w:cs="Calibri"/>
        </w:rPr>
        <w:t xml:space="preserve"> к Порядку оказания медицинской помощи при острых и хронических профессиональных заболеваниях, утвержденному настоящим приказом.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Отделение оснащается в соответствии со стандартом оснащения, установленным согласно </w:t>
      </w:r>
      <w:hyperlink w:anchor="Par741" w:history="1">
        <w:r>
          <w:rPr>
            <w:rFonts w:ascii="Calibri" w:hAnsi="Calibri" w:cs="Calibri"/>
            <w:color w:val="0000FF"/>
          </w:rPr>
          <w:t>приложению N 12</w:t>
        </w:r>
      </w:hyperlink>
      <w:r>
        <w:rPr>
          <w:rFonts w:ascii="Calibri" w:hAnsi="Calibri" w:cs="Calibri"/>
        </w:rPr>
        <w:t xml:space="preserve"> к Порядку оказания медицинской помощи при острых и хронических профессиональных заболеваниях, утвержденному настоящим приказом.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Отделение возглавляет заведующий, назначаемый на должность и освобождаемый от должности руководителем медицинской организации, в составе которой оно создано.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Основными функциями Отделения является: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 медицинской помощи больным с установленным диагнозом профессионального заболевания, в том числе с предварительным диагнозом профессионального заболевания, а также работникам, занятым на работах с вредными производственными факторами;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практику работы новых передовых форм медицинского обслуживания, современных методов диагностики, профилактики и лечения заболеваний;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анализа профессиональной заболеваемости работников обслуживаемых организаций, производственного травматизма, инвалидности и смертности;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и организационно-методической помощи медицинским организациям по диагностике и лечению профессиональных заболеваний и профессиональных отравлений;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анализа эффективности работы медицинских работников и качества оказываемой медицинской помощи, изучение исходов и отдаленных результатов лечения;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профессиональной квалификации медицинских работников Отделения;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анализа основных качественных показателей работы Отделения и по его итогам разработка и осуществление необходимых мероприятий;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санитарно-просветительной работы по пропаганде здорового образа жизни, </w:t>
      </w:r>
      <w:r>
        <w:rPr>
          <w:rFonts w:ascii="Calibri" w:hAnsi="Calibri" w:cs="Calibri"/>
        </w:rPr>
        <w:lastRenderedPageBreak/>
        <w:t>обеспечение санитарно-гигиенического обучения по профилактике профессиональных заболеваний и профессиональных отравлений;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и представление необходимой учетно-отчетной документации в соответствии с действующими нормативно-правовыми актами;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экспертиза связи заболеваний с профессией, экспертиза профпригодности, экспертиза временной нетрудоспособности;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лечение и реабилитация больных с профессиональными заболеваниями.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для обеспечения своей деятельности использует возможности лечебных и диагностических подразделений, имеющиеся в структуре медицинской организации, в составе которой оно создано.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11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острых и хронических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профессиональных заболеваниях,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911н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1" w:name="Par698"/>
      <w:bookmarkEnd w:id="11"/>
      <w:r>
        <w:rPr>
          <w:rFonts w:ascii="Calibri" w:hAnsi="Calibri" w:cs="Calibri"/>
        </w:rPr>
        <w:t>РЕКОМЕНДУЕМЫЕ ШТАТНЫЕ НОРМАТИВЫ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ПРОФПАТОЛОГИЧЕСКОГО ОТДЕЛЕНИЯ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280"/>
        <w:gridCol w:w="3120"/>
      </w:tblGrid>
      <w:tr w:rsidR="00243750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должности 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 должностей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врач-профпатолог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Врач-профпатолог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функциональной диагностики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120 коек     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(1 круглосуточный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пост) на 30 коек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</w:t>
            </w:r>
          </w:p>
        </w:tc>
      </w:tr>
      <w:tr w:rsidR="00243750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уходу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 больными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коек            </w:t>
            </w:r>
          </w:p>
        </w:tc>
      </w:tr>
      <w:tr w:rsidR="00243750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(1 круглосуточный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пост) на 30 коек;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на 30 коек;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2 на 30 коек для работы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буфете                </w:t>
            </w:r>
          </w:p>
        </w:tc>
      </w:tr>
    </w:tbl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12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при острых и хронических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профессиональных заболеваниях,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911н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2" w:name="Par741"/>
      <w:bookmarkEnd w:id="12"/>
      <w:r>
        <w:rPr>
          <w:rFonts w:ascii="Calibri" w:hAnsi="Calibri" w:cs="Calibri"/>
        </w:rPr>
        <w:t>СТАНДАРТ ОСНАЩЕНИЯ ПРОФПАТОЛОГИЧЕСКОГО ОТДЕЛЕНИЯ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840"/>
        <w:gridCol w:w="5640"/>
        <w:gridCol w:w="2160"/>
      </w:tblGrid>
      <w:tr w:rsidR="00243750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количество, шт. </w:t>
            </w:r>
          </w:p>
        </w:tc>
      </w:tr>
      <w:tr w:rsidR="00243750">
        <w:trPr>
          <w:trHeight w:val="720"/>
          <w:tblCellSpacing w:w="5" w:type="nil"/>
        </w:trPr>
        <w:tc>
          <w:tcPr>
            <w:tcW w:w="7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набор рабочих инструментов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 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отделении       </w:t>
            </w:r>
          </w:p>
        </w:tc>
      </w:tr>
      <w:tr w:rsidR="00243750">
        <w:trPr>
          <w:trHeight w:val="72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1.1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Сфигмоманометр (с манжетками для взрослых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обычного и увеличенного размеров)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 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отделении       </w:t>
            </w:r>
          </w:p>
        </w:tc>
      </w:tr>
      <w:tr w:rsidR="00243750">
        <w:trPr>
          <w:trHeight w:val="72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1.2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 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отделении       </w:t>
            </w:r>
          </w:p>
        </w:tc>
      </w:tr>
      <w:tr w:rsidR="00243750">
        <w:trPr>
          <w:trHeight w:val="72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1.3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Увеличительное стекло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 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отделении       </w:t>
            </w:r>
          </w:p>
        </w:tc>
      </w:tr>
      <w:tr w:rsidR="00243750">
        <w:trPr>
          <w:trHeight w:val="54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1.4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Неврологический молоточек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 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отделении       </w:t>
            </w:r>
          </w:p>
        </w:tc>
      </w:tr>
      <w:tr w:rsidR="00243750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врача-терапевта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врачей 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отделении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заведующего отделением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постовой сестры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постов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Электрокардиограф 12-канальный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Электронный спирограф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Пульсоксиметр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напольные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Метаболограф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Централизованная подводка кислорода в каждую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палату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система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отделение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Концентратор кислорода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60 коек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Небулайзер (компрессорный)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3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Игла для стернальной пункции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Тест-система для определения маркеров некроза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миокарда </w:t>
            </w:r>
            <w:hyperlink w:anchor="Par82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экстренного оповещения (сигнализации) из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палат от каждой койки на пост медицинской сестры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система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отделение 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Блок электрических розеток: не менее 2-х розеток с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заземлением у каждой койки и 4-х розеток в палате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палат       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Прикроватный кардиомонитор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</w:t>
            </w:r>
          </w:p>
        </w:tc>
      </w:tr>
      <w:tr w:rsidR="00243750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</w:t>
            </w:r>
          </w:p>
        </w:tc>
      </w:tr>
      <w:tr w:rsidR="00243750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Функциональные кровати с возможностью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быстрой доставки на них пациента в отделение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реанимации и интенсивной терапии и проведения 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них закрытого массажа сердца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10% от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коечной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емкости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отделения       </w:t>
            </w:r>
          </w:p>
        </w:tc>
      </w:tr>
      <w:tr w:rsidR="00243750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оказания неотложной помощи при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анафилактическом шоке (противошоковый набор)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50" w:rsidRDefault="0024375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набор         </w:t>
            </w:r>
          </w:p>
        </w:tc>
      </w:tr>
    </w:tbl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820"/>
      <w:bookmarkEnd w:id="13"/>
      <w:r>
        <w:rPr>
          <w:rFonts w:ascii="Calibri" w:hAnsi="Calibri" w:cs="Calibri"/>
        </w:rPr>
        <w:t>&lt;*&gt; Для медицинских организаций, не имеющих возможности лабораторного экспресс-метода определения маркеров некроза миокарда.</w:t>
      </w: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3750" w:rsidRDefault="00243750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556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750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43750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57F7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437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437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437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437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D726B82C0C0A04FD4E81CF926163F88E8BCFCCFECA8135880BDF05ADBF2F30288238A9C495DFRCJ1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2D726B82C0C0A04FD4E81CF926163F88A8DCDC9FFC7DC3F8052D307AAB070272FCB34A8C495DEC0R3JE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2D726B82C0C0A04FD4E81CF926163F88A8CC9CEFCC3DC3F8052D307AARBJ0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2D726B82C0C0A04FD4E81CF926163F88A8ECCC9FAC9DC3F8052D307AAB070272FCB34A8C495DDCAR3J3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2D726B82C0C0A04FD4E81CF926163F88A8FC8C6FBC9DC3F8052D307AAB070272FCB34A8C495DEC2R3J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6828</Words>
  <Characters>38924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2013-01-31T13:44:00Z</dcterms:created>
  <dcterms:modified xsi:type="dcterms:W3CDTF">2013-01-31T13:44:00Z</dcterms:modified>
</cp:coreProperties>
</file>