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17 декабря 2012 г. N 26159</w:t>
      </w:r>
    </w:p>
    <w:p w:rsidR="00F520FA" w:rsidRDefault="00F520F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520FA" w:rsidRDefault="00F520F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F520FA" w:rsidRDefault="00F520FA">
      <w:pPr>
        <w:pStyle w:val="ConsPlusTitle"/>
        <w:jc w:val="center"/>
        <w:rPr>
          <w:sz w:val="20"/>
          <w:szCs w:val="20"/>
        </w:rPr>
      </w:pPr>
    </w:p>
    <w:p w:rsidR="00F520FA" w:rsidRDefault="00F520F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F520FA" w:rsidRDefault="00F520F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31 октября 2012 г. N 562н</w:t>
      </w:r>
    </w:p>
    <w:p w:rsidR="00F520FA" w:rsidRDefault="00F520FA">
      <w:pPr>
        <w:pStyle w:val="ConsPlusTitle"/>
        <w:jc w:val="center"/>
        <w:rPr>
          <w:sz w:val="20"/>
          <w:szCs w:val="20"/>
        </w:rPr>
      </w:pPr>
    </w:p>
    <w:p w:rsidR="00F520FA" w:rsidRDefault="00F520F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F520FA" w:rsidRDefault="00F520F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 "ДЕТСКАЯ ХИРУРГИЯ"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8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по профилю "детская хирургия".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17 ноября 2010 г. N 1007н "Об утверждении Порядка оказания медицинской помощи детям при хирургических заболеваниях" (зарегистрирован Министерством юстиции Российской Федерации 16 декабря 2010 г., регистрационный N 19199).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pStyle w:val="ConsPlusTitle"/>
        <w:jc w:val="center"/>
        <w:rPr>
          <w:sz w:val="20"/>
          <w:szCs w:val="20"/>
        </w:rPr>
      </w:pPr>
      <w:bookmarkStart w:id="1" w:name="Par28"/>
      <w:bookmarkEnd w:id="1"/>
      <w:r>
        <w:rPr>
          <w:sz w:val="20"/>
          <w:szCs w:val="20"/>
        </w:rPr>
        <w:t>ПОРЯДОК</w:t>
      </w:r>
    </w:p>
    <w:p w:rsidR="00F520FA" w:rsidRDefault="00F520F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 "ДЕТСКАЯ ХИРУРГИЯ"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по профилю "детская хирургия" (далее - дети) медицинскими организациями.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детям оказывается в виде: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детям может оказываться в следующих условиях: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Первичная медико-санитарная помощь детям включает в себя мероприятия по профилактике хирургических заболеваний, диагностике, лечению, медицинской реабилитации, формированию здорового образа жизни, санитарно-гигиеническому просвещению детей и их </w:t>
      </w:r>
      <w:hyperlink r:id="rId7" w:history="1">
        <w:r>
          <w:rPr>
            <w:rFonts w:ascii="Calibri" w:hAnsi="Calibri" w:cs="Calibri"/>
            <w:color w:val="0000FF"/>
          </w:rPr>
          <w:t>законных представителей</w:t>
        </w:r>
      </w:hyperlink>
      <w:r>
        <w:rPr>
          <w:rFonts w:ascii="Calibri" w:hAnsi="Calibri" w:cs="Calibri"/>
        </w:rPr>
        <w:t>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детям включает: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первичную доврачебную медико-санитарную помощь;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детям оказывается в амбулаторных условиях и в условиях дневного стационара.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детям осуществляется медицинскими работниками со средним медицинским образованием.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детям осуществляется врачом-педиатром участковым, врачом общей практики (семейным врачом).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детям осуществляется врачом - детским хирургом.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подозрении или выявлении у детей хирургических заболеваний врачи-педиатры участковые, врачи общей практики (семейные врачи) направляют детей на консультацию к врачу - детскому хирургу.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Скорая, в том числе скорая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</w:t>
      </w:r>
      <w:proofErr w:type="gramEnd"/>
      <w:r>
        <w:rPr>
          <w:rFonts w:ascii="Calibri" w:hAnsi="Calibri" w:cs="Calibri"/>
        </w:rPr>
        <w:t xml:space="preserve">., </w:t>
      </w:r>
      <w:proofErr w:type="gramStart"/>
      <w:r>
        <w:rPr>
          <w:rFonts w:ascii="Calibri" w:hAnsi="Calibri" w:cs="Calibri"/>
        </w:rPr>
        <w:t>регистрационный N 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</w:t>
      </w:r>
      <w:proofErr w:type="gramEnd"/>
      <w:r>
        <w:rPr>
          <w:rFonts w:ascii="Calibri" w:hAnsi="Calibri" w:cs="Calibri"/>
        </w:rPr>
        <w:t xml:space="preserve">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Министерством юстиции Российской Федерации 14 марта 2012 г., регистрационный N 23472).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Скорая, в том числе скорая специализированная, медицинская помощь оказывается в экстренной и неотложной форме вне медицинской организации, а также в амбулаторных и стационарных условиях.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>Бригада скорой медицинской помощи доставляет детей с угрожающими жизни состояниями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  <w:proofErr w:type="gramEnd"/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наличии медицинских показаний после устранения угрожающих жизни состояний дети переводятся в детское хирургическое отделение (койки) медицинской организации для оказания специализированной медицинской помощи.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Специализированная, в том числе высокотехнологичная, медицинская помощь детям в стационарных условиях и условиях дневного стационара оказывается врачами - детскими хирургами и включает в себя профилактику, диагностику, лечение заболеваний и состояний, требующих использования специальных методов и медицинских технологий, а также медицинскую реабилитацию.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При наличии медицинских показаний лечение детей проводится с привлечением врачей-специалистов по специальностям, предусмотренным номенклатурой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</w:t>
      </w:r>
      <w:hyperlink r:id="rId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23 апреля 2009 г. N 210н (зарегистрирован Министерством юстиции Российской Федерации 5 июня 2009 г., регистрационный N 14032), с изменениями, внесенными</w:t>
      </w:r>
      <w:proofErr w:type="gramEnd"/>
      <w:r>
        <w:rPr>
          <w:rFonts w:ascii="Calibri" w:hAnsi="Calibri" w:cs="Calibri"/>
        </w:rPr>
        <w:t xml:space="preserve"> приказом Министерства здравоохранения и социального развития Российской Федерации от 9 февраля 2011 г. N 94н (зарегистрирован Министерством юстиции Российской Федерации 16 марта 2011 г., </w:t>
      </w:r>
      <w:r>
        <w:rPr>
          <w:rFonts w:ascii="Calibri" w:hAnsi="Calibri" w:cs="Calibri"/>
        </w:rPr>
        <w:lastRenderedPageBreak/>
        <w:t>регистрационный N 20144).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Медицинская помощь в плановой форме оказывается при заболеваниях и состояниях, не сопровождающихся угрозой жизни детям, не требующих оказания медицинской помощи в экстренной и неотложной формах.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 xml:space="preserve">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</w:t>
      </w:r>
      <w:proofErr w:type="spellStart"/>
      <w:r>
        <w:rPr>
          <w:rFonts w:ascii="Calibri" w:hAnsi="Calibri" w:cs="Calibri"/>
        </w:rPr>
        <w:t>нетипичностью</w:t>
      </w:r>
      <w:proofErr w:type="spellEnd"/>
      <w:r>
        <w:rPr>
          <w:rFonts w:ascii="Calibri" w:hAnsi="Calibri" w:cs="Calibri"/>
        </w:rPr>
        <w:t xml:space="preserve">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сопутствующих заболеваний, необходимости </w:t>
      </w:r>
      <w:proofErr w:type="spellStart"/>
      <w:r>
        <w:rPr>
          <w:rFonts w:ascii="Calibri" w:hAnsi="Calibri" w:cs="Calibri"/>
        </w:rPr>
        <w:t>дообследования</w:t>
      </w:r>
      <w:proofErr w:type="spellEnd"/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диагностически</w:t>
      </w:r>
      <w:proofErr w:type="spellEnd"/>
      <w:r>
        <w:rPr>
          <w:rFonts w:ascii="Calibri" w:hAnsi="Calibri" w:cs="Calibri"/>
        </w:rPr>
        <w:t xml:space="preserve"> сложных случаях и (или) комплексной предоперационной подготовке у детей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приведенном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в приложении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 N 17175), а также при наличии у больного медицинских показаний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11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</w:t>
      </w:r>
      <w:proofErr w:type="gramEnd"/>
      <w:r>
        <w:rPr>
          <w:rFonts w:ascii="Calibri" w:hAnsi="Calibri" w:cs="Calibri"/>
        </w:rPr>
        <w:t xml:space="preserve">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 N 7115).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 xml:space="preserve">При наличии у детей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12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</w:t>
      </w:r>
      <w:proofErr w:type="gramEnd"/>
      <w:r>
        <w:rPr>
          <w:rFonts w:ascii="Calibri" w:hAnsi="Calibri" w:cs="Calibri"/>
        </w:rPr>
        <w:t xml:space="preserve"> Российской Федерации от 28 декабря 2011 года N 1689н (зарегистрирован Министерством юстиции Российской Федерации 8 февраля 2012 г. N 23164).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</w:t>
      </w:r>
      <w:proofErr w:type="gramStart"/>
      <w:r>
        <w:rPr>
          <w:rFonts w:ascii="Calibri" w:hAnsi="Calibri" w:cs="Calibri"/>
        </w:rPr>
        <w:t xml:space="preserve">При подозрении или выявлении у детей онкологического заболевания при отсутствии медицинских показаний к экстренной или неотложной медицинской помощи дети направляются в медицинские организации для оказания медицинской помощи в соответствии с </w:t>
      </w:r>
      <w:hyperlink r:id="rId13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оказания медицинской помощи детям с онкологическими заболеваниями, утвержденным приказом Министерства здравоохранения и социального развития Российской Федерации от 20 апреля 2010 г. N 255н (зарегистрирован Министерством юстиции Российской Федерации 13</w:t>
      </w:r>
      <w:proofErr w:type="gramEnd"/>
      <w:r>
        <w:rPr>
          <w:rFonts w:ascii="Calibri" w:hAnsi="Calibri" w:cs="Calibri"/>
        </w:rPr>
        <w:t xml:space="preserve"> мая 2010 г., </w:t>
      </w:r>
      <w:proofErr w:type="gramStart"/>
      <w:r>
        <w:rPr>
          <w:rFonts w:ascii="Calibri" w:hAnsi="Calibri" w:cs="Calibri"/>
        </w:rPr>
        <w:t>регистрационный</w:t>
      </w:r>
      <w:proofErr w:type="gramEnd"/>
      <w:r>
        <w:rPr>
          <w:rFonts w:ascii="Calibri" w:hAnsi="Calibri" w:cs="Calibri"/>
        </w:rPr>
        <w:t xml:space="preserve"> N 17209).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Медицинские организации, оказывающие помощь детям с хирургическими заболеваниями, осуществляют свою деятельность в соответствии с </w:t>
      </w:r>
      <w:hyperlink w:anchor="Par76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363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 случае если проведение медицинских манипуляций, связанных с оказанием помощи детям, может повлечь возникновение болевых ощущений у детей, такие манипуляции проводятся с обезболиванием.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6"/>
      <w:bookmarkEnd w:id="2"/>
      <w:r>
        <w:rPr>
          <w:rFonts w:ascii="Calibri" w:hAnsi="Calibri" w:cs="Calibri"/>
        </w:rPr>
        <w:t>ПРАВИЛА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 - ДЕТСКОГО ХИРУРГА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врача - детского хирурга, который является структурным подразделением медицинской организации.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врача - детского хирурга (далее - Кабинет) создается для осуществления консультативной, диагностической и лечебной помощи детям с хирургическими заболеваниями (далее - дети).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 Кабинета назначается специалист, 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</w:t>
      </w:r>
      <w:hyperlink r:id="rId14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 с изменениями, внесенными приказом Министерства здравоохранения и социального</w:t>
      </w:r>
      <w:proofErr w:type="gramEnd"/>
      <w:r>
        <w:rPr>
          <w:rFonts w:ascii="Calibri" w:hAnsi="Calibri" w:cs="Calibri"/>
        </w:rPr>
        <w:t xml:space="preserve"> развития Российской Федерации от 26 декабря 2011 г. N 1644н (зарегистрирован Министерством юстиции Российской Федерации 18 апреля 2012 г., регистрационный N 23879), по специальности "детская хирургия".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Кабинета устанавливается руководителем медицинской организации исходя из объема проводимой консультативной,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12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хирургия", утвержденному настоящим приказом.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44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хирургия", утвержденному настоящим приказом.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детям;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направление детей в медицинские организации для проведения консультаций врачами-специалистами по специальностям, предусмотренным </w:t>
      </w:r>
      <w:hyperlink r:id="rId15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диспансерного наблюдения за детьми;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профилактических осмотров детей на обслуживаемой территории;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населением по вопросам профилактики и ранней диагностики хирургических заболеваний у детей и формированию здорового образа жизни;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детей для оказания медицинской помощи в стационарных условиях при наличии медицинских показаний;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детей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 для оформления инвалидности;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состояния оказания специализированной медицинской помощи детям на обслуживаемой территории;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участие в проведении анализа основных медико-статистических показателей заболеваемости, инвалидности и смертности у детей;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Кабинета.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Кабинете рекомендуется предусматривать: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детей;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помещения для выполнения хирургических лечебных и диагностических исследований, входящих в функции Кабинета.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2"/>
      <w:bookmarkEnd w:id="3"/>
      <w:r>
        <w:rPr>
          <w:rFonts w:ascii="Calibri" w:hAnsi="Calibri" w:cs="Calibri"/>
        </w:rPr>
        <w:t>РЕКОМЕНДУЕМЫЕ ШТАТНЫЕ НОРМАТИВЫ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ВРАЧА - ДЕТСКОГО ХИРУРГА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2880"/>
        <w:gridCol w:w="5520"/>
      </w:tblGrid>
      <w:tr w:rsidR="00F520FA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должности      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 штатных единиц   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хирург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10 000 детского населения              </w:t>
            </w:r>
          </w:p>
        </w:tc>
      </w:tr>
      <w:tr w:rsidR="00F520FA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штатную единицу врача - детского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хирурга                              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кабинета                             </w:t>
            </w:r>
          </w:p>
        </w:tc>
      </w:tr>
    </w:tbl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врача - детского хирурга не распространяются на медицинские организации частной системы здравоохранения.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штатных единиц кабинета врача - детского хирурга устанавливается исходя из меньшей численности детского населения.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6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 количество штатных единиц врача - детского хирурга устанавливается вне зависимости от численности прикрепленного детского населения.</w:t>
      </w:r>
      <w:proofErr w:type="gramEnd"/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44"/>
      <w:bookmarkEnd w:id="4"/>
      <w:r>
        <w:rPr>
          <w:rFonts w:ascii="Calibri" w:hAnsi="Calibri" w:cs="Calibri"/>
        </w:rPr>
        <w:t>СТАНДАРТ ОСНАЩЕНИЯ КАБИНЕТА ВРАЧА - ДЕТСКОГО ХИРУРГА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360"/>
        <w:gridCol w:w="2040"/>
      </w:tblGrid>
      <w:tr w:rsidR="00F520FA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штук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перевязочных и лекарственных средств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медицинских документов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лазерный для резекции и коагуляции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Аспиратор хирургический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с манжетой для детей до года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Радиохирургический нож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для хранения стерильных инструментов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операционный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перевязочный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инструментальный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Малый хирургический набор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для медицинских инструментов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Сухожаровой шкаф для стерилизации медицинских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Бестеневая лампа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Электронные весы для детей до 1 года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лекарственных препаратов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лучистого тепла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принтером, выходом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Интернет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числу врачей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Шина для лечения переломов ключицы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Шина для фиксации кисти и пальцев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Шина проволочная для верхних и нижних конечностей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Шина транспортная для нижних конечностей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Головодержатель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(воротник Шанца)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набор для реанимации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термометр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дезинфекции инструментария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</w:tbl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Российской Федерации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ДЕТСКОГО ХИРУРГИЧЕСКОГО ОТДЕЛЕНИЯ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хирургического отделения в организациях, оказывающих медицинскую помощь детям по профилю "детская хирургия" (далее соответственно - дети, медицинская организация).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Детское хирургическое отделение (далее - Отделение) создается как структурное подразделение медицинской организации.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требованиям, предъявляемым </w:t>
      </w:r>
      <w:hyperlink r:id="rId17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"детская хирургия".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Отделения назначается специалист, соответствующий требованиям, предъявляемым </w:t>
      </w:r>
      <w:hyperlink r:id="rId18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"детская хирургия".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Отделения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310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хирургия", утвержденному настоящим приказом.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Отделения осуществляется в соответствии со стандартом оснащения Отделения, предусмотренным </w:t>
      </w:r>
      <w:hyperlink w:anchor="Par363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хирургия", утвержденному настоящим приказом.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перевязочную;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перевязочную</w:t>
      </w:r>
      <w:proofErr w:type="gramEnd"/>
      <w:r>
        <w:rPr>
          <w:rFonts w:ascii="Calibri" w:hAnsi="Calibri" w:cs="Calibri"/>
        </w:rPr>
        <w:t xml:space="preserve"> (для гнойных ран);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гипсовую.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Отделении рекомендуется предусматривать: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 том числе одноместные (изолятор);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медицинских работников со средним медицинским образованием;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медицинского оборудования;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столовую;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медицинских работников;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сцеживания грудного молока (при наличии коек для новорожденных);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помещение для санитарной обработки </w:t>
      </w:r>
      <w:proofErr w:type="spellStart"/>
      <w:r>
        <w:rPr>
          <w:rFonts w:ascii="Calibri" w:hAnsi="Calibri" w:cs="Calibri"/>
        </w:rPr>
        <w:t>кювезов</w:t>
      </w:r>
      <w:proofErr w:type="spellEnd"/>
      <w:r>
        <w:rPr>
          <w:rFonts w:ascii="Calibri" w:hAnsi="Calibri" w:cs="Calibri"/>
        </w:rPr>
        <w:t>, кроваток (при наличии коек для новорожденных);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комнату для отдыха родителей.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детям в стационарных условиях;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и проведение диагностических процедур в стационарных условиях;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детей в стационарных условиях;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лечебно-диагностической работы в Отделении и снижению операционных осложнений и летальности у детей;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повышения профессиональной квалификации медицинских работников по вопросам диагностики и оказания медицинской помощи детям;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медицинскую практику новых эффективных методов профилактики, диагностики, лечения и реабилитации детей;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профилактических мероприятий, направленных на предупреждение осложнений, а также лечение осложнений, возникших в процессе лечения детей;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детей;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Отделения.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310"/>
      <w:bookmarkEnd w:id="5"/>
      <w:r>
        <w:rPr>
          <w:rFonts w:ascii="Calibri" w:hAnsi="Calibri" w:cs="Calibri"/>
        </w:rPr>
        <w:t>РЕКОМЕНДУЕМЫЕ ШТАТНЫЕ НОРМАТИВЫ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ДЕТСКОГО ХИРУРГИЧЕСКОГО ОТДЕЛЕНИЯ </w:t>
      </w:r>
      <w:hyperlink w:anchor="Par347" w:history="1">
        <w:r>
          <w:rPr>
            <w:rFonts w:ascii="Calibri" w:hAnsi="Calibri" w:cs="Calibri"/>
            <w:color w:val="0000FF"/>
          </w:rPr>
          <w:t>&lt;*&gt;</w:t>
        </w:r>
      </w:hyperlink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280"/>
        <w:gridCol w:w="3120"/>
      </w:tblGrid>
      <w:tr w:rsidR="00F520FA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Наименование должностей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штатных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единиц         </w:t>
            </w:r>
          </w:p>
        </w:tc>
      </w:tr>
      <w:tr w:rsidR="00F520FA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 - детский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30 коек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хирург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10 коек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30 коек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30 коек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перевязочной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30 коек      </w:t>
            </w:r>
          </w:p>
        </w:tc>
      </w:tr>
      <w:tr w:rsidR="00F520FA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9,5 на 30 коек (для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обеспечения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круглосуточной работы) </w:t>
            </w:r>
          </w:p>
        </w:tc>
      </w:tr>
      <w:tr w:rsidR="00F520FA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9,5 на 30 коек (для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обеспечения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круглосуточной работы)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F520FA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на отделение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обеспечения работы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буфетной   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Воспитатель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0,5 на 30 коек     </w:t>
            </w:r>
          </w:p>
        </w:tc>
      </w:tr>
      <w:tr w:rsidR="00F520F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11.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FA" w:rsidRDefault="00F520F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 на отделение     </w:t>
            </w:r>
          </w:p>
        </w:tc>
      </w:tr>
    </w:tbl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347"/>
      <w:bookmarkEnd w:id="6"/>
      <w:r>
        <w:rPr>
          <w:rFonts w:ascii="Calibri" w:hAnsi="Calibri" w:cs="Calibri"/>
        </w:rPr>
        <w:t>Примечания: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детского хирургического отделения не распространяются на медицинские организации частной системы здравоохранения.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Должности врачей - детских хирургов для оказания экстренной круглосуточной хирургической помощи детям, в том числе новорожденным, устанавливаются исходя из объема оказания экстренной хирургической помощи сверх должностей врачей - детских хирургов, предусмотренных рекомендуемыми штатными нормативами детского хирургического отделения из расчета 4,75 штатные единицы для обеспечения круглосуточной работы.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363"/>
      <w:bookmarkEnd w:id="7"/>
      <w:r>
        <w:rPr>
          <w:rFonts w:ascii="Calibri" w:hAnsi="Calibri" w:cs="Calibri"/>
        </w:rPr>
        <w:t>СТАНДАРТ ОСНАЩЕНИЯ ДЕТСКОГО ХИРУРГИЧЕСКОГО ОТДЕЛЕНИЯ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┌─────┬─────────────────────────────────────────────────┬─────────────────┐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N  │      Наименование оборудования (оснащения)      │Количество, штук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</w:t>
      </w:r>
      <w:proofErr w:type="gramStart"/>
      <w:r>
        <w:rPr>
          <w:rFonts w:ascii="Courier New" w:hAnsi="Courier New" w:cs="Courier New"/>
          <w:sz w:val="18"/>
          <w:szCs w:val="18"/>
        </w:rPr>
        <w:t>п</w:t>
      </w:r>
      <w:proofErr w:type="gramEnd"/>
      <w:r>
        <w:rPr>
          <w:rFonts w:ascii="Courier New" w:hAnsi="Courier New" w:cs="Courier New"/>
          <w:sz w:val="18"/>
          <w:szCs w:val="18"/>
        </w:rPr>
        <w:t>/п │                                                 │         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 │Функциональная кровать                           │  по числу коек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 │Кровать для детей грудного возраста        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 │</w:t>
      </w:r>
      <w:proofErr w:type="spellStart"/>
      <w:r>
        <w:rPr>
          <w:rFonts w:ascii="Courier New" w:hAnsi="Courier New" w:cs="Courier New"/>
          <w:sz w:val="18"/>
          <w:szCs w:val="18"/>
        </w:rPr>
        <w:t>Кювез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   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>
        <w:rPr>
          <w:rFonts w:ascii="Courier New" w:hAnsi="Courier New" w:cs="Courier New"/>
          <w:sz w:val="18"/>
          <w:szCs w:val="18"/>
        </w:rPr>
        <w:t>КонсультантПлюс</w:t>
      </w:r>
      <w:proofErr w:type="spellEnd"/>
      <w:r>
        <w:rPr>
          <w:rFonts w:ascii="Courier New" w:hAnsi="Courier New" w:cs="Courier New"/>
          <w:sz w:val="18"/>
          <w:szCs w:val="18"/>
        </w:rPr>
        <w:t>: примечание.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Нумерация   пунктов  в  таблице  дана  в  соответствии   с  </w:t>
      </w:r>
      <w:proofErr w:type="gramStart"/>
      <w:r>
        <w:rPr>
          <w:rFonts w:ascii="Courier New" w:hAnsi="Courier New" w:cs="Courier New"/>
          <w:sz w:val="18"/>
          <w:szCs w:val="18"/>
        </w:rPr>
        <w:t>официальным</w:t>
      </w:r>
      <w:proofErr w:type="gramEnd"/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текстом документа.</w:t>
      </w:r>
    </w:p>
    <w:p w:rsidR="00F520FA" w:rsidRDefault="00F520F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 │Увлажнитель кислорода                            │  по числу коек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 │Кроватка с подогревом или матрасики для обогрева │  2 на 10 коек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 │</w:t>
      </w:r>
      <w:proofErr w:type="spellStart"/>
      <w:r>
        <w:rPr>
          <w:rFonts w:ascii="Courier New" w:hAnsi="Courier New" w:cs="Courier New"/>
          <w:sz w:val="18"/>
          <w:szCs w:val="18"/>
        </w:rPr>
        <w:t>Противопролежневый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матрас                        │  3 на 10 коек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    │</w:t>
      </w:r>
      <w:proofErr w:type="spellStart"/>
      <w:r>
        <w:rPr>
          <w:rFonts w:ascii="Courier New" w:hAnsi="Courier New" w:cs="Courier New"/>
          <w:sz w:val="18"/>
          <w:szCs w:val="18"/>
        </w:rPr>
        <w:t>Пеленальный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стол                           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 │Прикроватный столик                              │  по числу коек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 │Тумба прикроватная                               │  по числу коек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 │Прикроватная информационная доска (маркерная)    │  по числу коек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 │Кресло-каталка                                   │  1 на 10 коек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 │Тележка для перевозки больных                    │  1 на 10 коек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 │Тележка грузовая межкорпусная                    │        2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│13.  │Тележка для перемещения больных </w:t>
      </w:r>
      <w:proofErr w:type="gramStart"/>
      <w:r>
        <w:rPr>
          <w:rFonts w:ascii="Courier New" w:hAnsi="Courier New" w:cs="Courier New"/>
          <w:sz w:val="18"/>
          <w:szCs w:val="18"/>
        </w:rPr>
        <w:t>с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подъемным      │        1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│механизмом и съемными носилками                  │         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 │Стол перевязочный                          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│15.  │Столик инструментальный                    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 │Столик манипуляционный с принадлежностями  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 │Шкаф (сейф) для хранения лекарственных средств   │        3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 │Монитор пациента прикроватный с определением     │   1 на 5 коек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│частоты дыхания, частоты сердечных сокращений,   │         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неинвазивным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измерением артериального давления,  │         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│температуры, проведением электрокардиографии     │         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пульсоксиметрии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│         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 │Монитор неонатальный с набором электродов и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│манжеток                                         │         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 │Передвижной рентгеновский аппарат                │        1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│21.  │Передвижной аппарат для </w:t>
      </w:r>
      <w:proofErr w:type="gramStart"/>
      <w:r>
        <w:rPr>
          <w:rFonts w:ascii="Courier New" w:hAnsi="Courier New" w:cs="Courier New"/>
          <w:sz w:val="18"/>
          <w:szCs w:val="18"/>
        </w:rPr>
        <w:t>ультразвуковых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│        1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│исследований с набором датчиков                  │         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 │Вакуумный аспиратор                              │  1 на 2 койки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  │Переносной набор для реанимации                  │        1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 │Мобильная реанимационная медицинская тележка     │        1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  │Портативный электрокардиограф                    │        1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  │</w:t>
      </w:r>
      <w:proofErr w:type="gramStart"/>
      <w:r>
        <w:rPr>
          <w:rFonts w:ascii="Courier New" w:hAnsi="Courier New" w:cs="Courier New"/>
          <w:sz w:val="18"/>
          <w:szCs w:val="18"/>
        </w:rPr>
        <w:t>Шприцевой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насос (</w:t>
      </w:r>
      <w:proofErr w:type="spellStart"/>
      <w:r>
        <w:rPr>
          <w:rFonts w:ascii="Courier New" w:hAnsi="Courier New" w:cs="Courier New"/>
          <w:sz w:val="18"/>
          <w:szCs w:val="18"/>
        </w:rPr>
        <w:t>перфузор</w:t>
      </w:r>
      <w:proofErr w:type="spellEnd"/>
      <w:r>
        <w:rPr>
          <w:rFonts w:ascii="Courier New" w:hAnsi="Courier New" w:cs="Courier New"/>
          <w:sz w:val="18"/>
          <w:szCs w:val="18"/>
        </w:rPr>
        <w:t>)                       │   1 на 5 коек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 │</w:t>
      </w:r>
      <w:proofErr w:type="spellStart"/>
      <w:r>
        <w:rPr>
          <w:rFonts w:ascii="Courier New" w:hAnsi="Courier New" w:cs="Courier New"/>
          <w:sz w:val="18"/>
          <w:szCs w:val="18"/>
        </w:rPr>
        <w:t>Инфузионный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насос (</w:t>
      </w:r>
      <w:proofErr w:type="spellStart"/>
      <w:r>
        <w:rPr>
          <w:rFonts w:ascii="Courier New" w:hAnsi="Courier New" w:cs="Courier New"/>
          <w:sz w:val="18"/>
          <w:szCs w:val="18"/>
        </w:rPr>
        <w:t>инфузомат</w:t>
      </w:r>
      <w:proofErr w:type="spellEnd"/>
      <w:r>
        <w:rPr>
          <w:rFonts w:ascii="Courier New" w:hAnsi="Courier New" w:cs="Courier New"/>
          <w:sz w:val="18"/>
          <w:szCs w:val="18"/>
        </w:rPr>
        <w:t>)              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  │Холодильник                                      │        3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  │Тонометр с манжетой для детей до года            │   не менее 2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  │</w:t>
      </w:r>
      <w:proofErr w:type="spellStart"/>
      <w:r>
        <w:rPr>
          <w:rFonts w:ascii="Courier New" w:hAnsi="Courier New" w:cs="Courier New"/>
          <w:sz w:val="18"/>
          <w:szCs w:val="18"/>
        </w:rPr>
        <w:t>Негатоскоп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    │        2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  │Бактерицидный облучатель воздуха, в том числе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│переносной                                       │         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  │Лампа лучистого тепла                      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  │Лампа фототерапии                          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  │Ингалятор                                        │   1 на 5 коек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  │Бестеневая лампа с автономным источником питания │        2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  │Электронные весы для детей до 1 года             │        1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  │Весы                                             │        1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  │Ростомер                                         │        1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  │Сантиметровая лента                              │        1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  │Термометр медицинский                            │  по числу коек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  │Штатив медицинский (</w:t>
      </w:r>
      <w:proofErr w:type="spellStart"/>
      <w:r>
        <w:rPr>
          <w:rFonts w:ascii="Courier New" w:hAnsi="Courier New" w:cs="Courier New"/>
          <w:sz w:val="18"/>
          <w:szCs w:val="18"/>
        </w:rPr>
        <w:t>инфузионная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стойка)    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  │Емкости для дезинфекции инструментария и       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│расходных материалов                             │               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│43.  │Емкости для сбора бытовых и медицинских отходов  │  по требованию  │</w:t>
      </w:r>
    </w:p>
    <w:p w:rsidR="00F520FA" w:rsidRDefault="00F520FA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└─────┴─────────────────────────────────────────────────┴─────────────────┘</w:t>
      </w: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F520FA" w:rsidRDefault="00F52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F520FA" w:rsidRDefault="00F520F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AA1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0FA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274B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20FA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520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520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520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520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917CCBCE32A3AC22BD77FFFA5E3655139E3AE8B67FDCE105724CADE1Y6Q5G" TargetMode="External"/><Relationship Id="rId13" Type="http://schemas.openxmlformats.org/officeDocument/2006/relationships/hyperlink" Target="consultantplus://offline/ref=A9917CCBCE32A3AC22BD77FFFA5E3655139C3FEDB179DCE105724CADE165DD166942F14DF94D870BYDQFG" TargetMode="External"/><Relationship Id="rId18" Type="http://schemas.openxmlformats.org/officeDocument/2006/relationships/hyperlink" Target="consultantplus://offline/ref=A9917CCBCE32A3AC22BD77FFFA5E3655139E35ECB77BDCE105724CADE165DD166942F14DF94D870AYDQ6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917CCBCE32A3AC22BD77FFFA5E36551B953BEDB37481EB0D2B40AFE66A82016E0BFD4CF94D87Y0QEG" TargetMode="External"/><Relationship Id="rId12" Type="http://schemas.openxmlformats.org/officeDocument/2006/relationships/hyperlink" Target="consultantplus://offline/ref=A9917CCBCE32A3AC22BD77FFFA5E3655139E38E2B677DCE105724CADE165DD166942F14DF94D870BYDQFG" TargetMode="External"/><Relationship Id="rId17" Type="http://schemas.openxmlformats.org/officeDocument/2006/relationships/hyperlink" Target="consultantplus://offline/ref=A9917CCBCE32A3AC22BD77FFFA5E3655139E35ECB77BDCE105724CADE165DD166942F14DF94D870AYDQ6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9917CCBCE32A3AC22BD77FFFA5E3655139E34EABA7FDCE105724CADE1Y6Q5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917CCBCE32A3AC22BD77FFFA5E3655139C35EBB077DCE105724CADE1Y6Q5G" TargetMode="External"/><Relationship Id="rId11" Type="http://schemas.openxmlformats.org/officeDocument/2006/relationships/hyperlink" Target="consultantplus://offline/ref=A9917CCBCE32A3AC22BD77FFFA5E3655179A3FE8B37481EB0D2B40AFE66A82016E0BFD4CF94D86Y0Q8G" TargetMode="External"/><Relationship Id="rId5" Type="http://schemas.openxmlformats.org/officeDocument/2006/relationships/hyperlink" Target="consultantplus://offline/ref=A9917CCBCE32A3AC22BD77FFFA5E3655139F3CEDB777DCE105724CADE165DD166942F14DF94D8403YDQ7G" TargetMode="External"/><Relationship Id="rId15" Type="http://schemas.openxmlformats.org/officeDocument/2006/relationships/hyperlink" Target="consultantplus://offline/ref=A9917CCBCE32A3AC22BD77FFFA5E3655139D38E3B17ADCE105724CADE165DD166942F14DF94D870BYDQFG" TargetMode="External"/><Relationship Id="rId10" Type="http://schemas.openxmlformats.org/officeDocument/2006/relationships/hyperlink" Target="consultantplus://offline/ref=A9917CCBCE32A3AC22BD77FFFA5E3655139C3DEDB279DCE105724CADE165DD166942F14DF94D8709YDQA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917CCBCE32A3AC22BD77FFFA5E3655139D38E3B17ADCE105724CADE1Y6Q5G" TargetMode="External"/><Relationship Id="rId14" Type="http://schemas.openxmlformats.org/officeDocument/2006/relationships/hyperlink" Target="consultantplus://offline/ref=A9917CCBCE32A3AC22BD77FFFA5E3655139E35ECB77BDCE105724CADE1Y6Q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5265</Words>
  <Characters>30014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2013-01-31T13:18:00Z</dcterms:created>
  <dcterms:modified xsi:type="dcterms:W3CDTF">2013-01-31T13:18:00Z</dcterms:modified>
</cp:coreProperties>
</file>